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5B2" w:rsidRPr="009655B2" w:rsidRDefault="009655B2" w:rsidP="009655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655B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Презентации</w:t>
      </w:r>
    </w:p>
    <w:p w:rsidR="009655B2" w:rsidRPr="009655B2" w:rsidRDefault="009655B2" w:rsidP="0096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5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Раздел будет пополняться по мере участия в конференциях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7"/>
        <w:gridCol w:w="628"/>
        <w:gridCol w:w="3088"/>
        <w:gridCol w:w="1562"/>
      </w:tblGrid>
      <w:tr w:rsidR="009655B2" w:rsidRPr="009655B2" w:rsidTr="009655B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655B2" w:rsidRPr="009655B2" w:rsidRDefault="009655B2" w:rsidP="00965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55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9655B2" w:rsidRPr="009655B2" w:rsidRDefault="009655B2" w:rsidP="00965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55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9655B2" w:rsidRPr="009655B2" w:rsidRDefault="009655B2" w:rsidP="00965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55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доклада</w:t>
            </w:r>
          </w:p>
        </w:tc>
        <w:tc>
          <w:tcPr>
            <w:tcW w:w="0" w:type="auto"/>
            <w:vAlign w:val="center"/>
            <w:hideMark/>
          </w:tcPr>
          <w:p w:rsidR="009655B2" w:rsidRPr="009655B2" w:rsidRDefault="009655B2" w:rsidP="00965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55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Материалы</w:t>
            </w:r>
          </w:p>
        </w:tc>
      </w:tr>
      <w:tr w:rsidR="009655B2" w:rsidRPr="009655B2" w:rsidTr="009655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5B2" w:rsidRPr="009655B2" w:rsidRDefault="009655B2" w:rsidP="00965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научно-практическая конференция «Развитие аграрной науки и научного обеспечения АПК Казахстана: теория, методология, практика» (</w:t>
            </w:r>
            <w:proofErr w:type="spellStart"/>
            <w:r w:rsidRPr="00965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Калиевские</w:t>
            </w:r>
            <w:proofErr w:type="spellEnd"/>
            <w:r w:rsidRPr="00965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 – I)</w:t>
            </w:r>
          </w:p>
        </w:tc>
        <w:tc>
          <w:tcPr>
            <w:tcW w:w="0" w:type="auto"/>
            <w:vAlign w:val="center"/>
            <w:hideMark/>
          </w:tcPr>
          <w:p w:rsidR="009655B2" w:rsidRPr="009655B2" w:rsidRDefault="009655B2" w:rsidP="00965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0" w:type="auto"/>
            <w:vAlign w:val="center"/>
            <w:hideMark/>
          </w:tcPr>
          <w:p w:rsidR="009655B2" w:rsidRPr="009655B2" w:rsidRDefault="009655B2" w:rsidP="00965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5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конфликта к устойчивому балансу: экономико-экологическая модель управления популяцией сайгаков</w:t>
            </w:r>
          </w:p>
        </w:tc>
        <w:tc>
          <w:tcPr>
            <w:tcW w:w="0" w:type="auto"/>
            <w:vAlign w:val="center"/>
            <w:hideMark/>
          </w:tcPr>
          <w:p w:rsidR="009655B2" w:rsidRPr="009655B2" w:rsidRDefault="009655B2" w:rsidP="00965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(PDF/PPT)</w:t>
            </w:r>
          </w:p>
        </w:tc>
      </w:tr>
    </w:tbl>
    <w:p w:rsidR="00A63EB8" w:rsidRDefault="00A63EB8"/>
    <w:p w:rsidR="007330BC" w:rsidRDefault="007330BC"/>
    <w:p w:rsidR="007330BC" w:rsidRPr="007330BC" w:rsidRDefault="007330BC" w:rsidP="007330B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outlineLvl w:val="2"/>
        <w:rPr>
          <w:rFonts w:ascii="Inter Fallback" w:eastAsia="Times New Roman" w:hAnsi="Inter Fallback" w:cs="Times New Roman"/>
          <w:b/>
          <w:bCs/>
          <w:color w:val="09090B"/>
          <w:sz w:val="27"/>
          <w:szCs w:val="27"/>
          <w:lang w:eastAsia="ru-RU"/>
        </w:rPr>
      </w:pPr>
      <w:r w:rsidRPr="007330BC">
        <w:rPr>
          <w:rFonts w:ascii="Inter Fallback" w:eastAsia="Times New Roman" w:hAnsi="Inter Fallback" w:cs="Times New Roman"/>
          <w:b/>
          <w:bCs/>
          <w:color w:val="09090B"/>
          <w:sz w:val="27"/>
          <w:szCs w:val="27"/>
          <w:lang w:eastAsia="ru-RU"/>
        </w:rPr>
        <w:t>Доклады</w:t>
      </w:r>
    </w:p>
    <w:p w:rsidR="007330BC" w:rsidRDefault="007330BC" w:rsidP="007330B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Тексты докладов и тезисы выступлений</w:t>
      </w:r>
    </w:p>
    <w:p w:rsidR="006E325B" w:rsidRPr="006E325B" w:rsidRDefault="006E325B" w:rsidP="006E325B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УДК 332.13</w:t>
      </w:r>
    </w:p>
    <w:p w:rsidR="006E325B" w:rsidRPr="006E325B" w:rsidRDefault="006E325B" w:rsidP="006E325B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bookmarkStart w:id="0" w:name="_GoBack"/>
      <w:bookmarkEnd w:id="0"/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ОТ КОНФЛИКТА К УСТОЙЧИВОМУ БАЛАНСУ: ЭКОНОМИКО-ЭКОЛОГИЧЕСКАЯ МОДЕЛЬ УПРАВЛЕНИЯ ПОПУЛЯЦИЕЙ САЙГАКОВ</w:t>
      </w:r>
    </w:p>
    <w:p w:rsidR="006E325B" w:rsidRPr="006E325B" w:rsidRDefault="006E325B" w:rsidP="006E325B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proofErr w:type="spellStart"/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Казамбаева</w:t>
      </w:r>
      <w:proofErr w:type="spellEnd"/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 А.М.</w:t>
      </w:r>
    </w:p>
    <w:p w:rsidR="006E325B" w:rsidRPr="006E325B" w:rsidRDefault="006E325B" w:rsidP="006E325B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кандидат экономических наук, доцент</w:t>
      </w:r>
    </w:p>
    <w:p w:rsidR="006E325B" w:rsidRPr="006E325B" w:rsidRDefault="006E325B" w:rsidP="006E325B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НАО «Западно-Казахстанский аграрно-технический университет имени </w:t>
      </w:r>
      <w:proofErr w:type="spellStart"/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Жангир</w:t>
      </w:r>
      <w:proofErr w:type="spellEnd"/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 хана»,</w:t>
      </w:r>
    </w:p>
    <w:p w:rsidR="006E325B" w:rsidRPr="006E325B" w:rsidRDefault="006E325B" w:rsidP="006E325B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г. Уральск, Республика Казахстан</w:t>
      </w:r>
    </w:p>
    <w:p w:rsidR="006E325B" w:rsidRPr="006E325B" w:rsidRDefault="006E325B" w:rsidP="006E325B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Аннотация. В статье рассматриваются экономико-экологические аспекты управления популяцией сайгаков в Казахстане в условиях стремительного роста численности животных и усиления конфликтов между сохранением биоразнообразия и развитием сельского хозяйства. Предложена интегрированная модель управления пастбищными ресурсами, основанная на принципах устойчивого природопользования, пространственного планирования и адаптивного управления.</w:t>
      </w:r>
    </w:p>
    <w:p w:rsidR="006E325B" w:rsidRPr="006E325B" w:rsidRDefault="006E325B" w:rsidP="006E325B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Ключевые слова: сайгак, пастбищные ресурсы, аграрная политика, устойчивое развитие, экологический конфликт, управление популяциями.</w:t>
      </w:r>
    </w:p>
    <w:p w:rsidR="006E325B" w:rsidRPr="006E325B" w:rsidRDefault="006E325B" w:rsidP="006E325B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Казахстан является основным ареалом обитания сайгака и играет ключевую роль в сохранении этого уникального вида. Благодаря эффективным природоохранным мерам численность сайгаков увеличилась с критически низких значений начала 2000-х годов до около 2,8 млн голов в 2024 году. Однако успешное восстановление популяции привело к возникновению новых вызовов, связанных с возрастающей нагрузкой на пастбищные экосистемы и усилением конкуренции за кормовые ресурсы между дикими и сельскохозяйственными животными.</w:t>
      </w:r>
    </w:p>
    <w:p w:rsidR="006E325B" w:rsidRPr="006E325B" w:rsidRDefault="006E325B" w:rsidP="006E325B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lastRenderedPageBreak/>
        <w:t xml:space="preserve">Анализ динамики популяции показывает, что после периода резкого сокращения численности в 1990–2005 гг. вследствие браконьерства и социально-экономических преобразований наблюдается устойчивое восстановление, а с 2021 года — экспоненциальный рост численности сайгаков. Основной вклад в увеличение общей популяции вносит Уральская </w:t>
      </w:r>
      <w:proofErr w:type="spellStart"/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субпопуляция</w:t>
      </w:r>
      <w:proofErr w:type="spellEnd"/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.</w:t>
      </w:r>
    </w:p>
    <w:p w:rsidR="006E325B" w:rsidRPr="006E325B" w:rsidRDefault="006E325B" w:rsidP="006E325B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Одной из ключевых проблем является институциональная асимметрия в системе управления пастбищами. В действующих нормативах пастбищной ёмкости учитывается нагрузка от сельскохозяйственных животных, однако нагрузка от сайгаков фактически не включается в расчёты. Между тем совокупная численность сайгаков эквивалентна примерно 280 тыс. условных голов сельскохозяйственных животных, что существенно влияет на состояние кормовой базы и устойчивость пастбищных экосистем.</w:t>
      </w:r>
    </w:p>
    <w:p w:rsidR="006E325B" w:rsidRPr="006E325B" w:rsidRDefault="006E325B" w:rsidP="006E325B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Проведённый анализ на примере </w:t>
      </w:r>
      <w:proofErr w:type="spellStart"/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Бокейординского</w:t>
      </w:r>
      <w:proofErr w:type="spellEnd"/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 района Западно-Казахстанской области показал, что при сокращении численности сельского населения на 25 % совокупная пастбищная нагрузка продолжает увеличиваться. За период 2015–2024 гг. нагрузка со стороны популяции сайгака выросла более чем в 11 раз, тогда как поголовье сельскохозяйственных животных увеличилось почти в три раза. Это свидетельствует о формировании нового типа экологического конфликта, обусловленного высокой концентрацией дикой фауны на ограниченных территориях.</w:t>
      </w:r>
    </w:p>
    <w:p w:rsidR="006E325B" w:rsidRPr="006E325B" w:rsidRDefault="006E325B" w:rsidP="006E325B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Изучение международного опыта управления конфликтами «человек – дикая природа» показывает, что наиболее эффективными являются комплексные модели, сочетающие цифровой мониторинг, пространственное зонирование, участие местных сообществ и адаптивное управление. В странах Европейского союза используются механизмы экологических компенсаций и GIS-мониторинга, в Австралии – принципы </w:t>
      </w:r>
      <w:proofErr w:type="spellStart"/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adaptive</w:t>
      </w:r>
      <w:proofErr w:type="spellEnd"/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management</w:t>
      </w:r>
      <w:proofErr w:type="spellEnd"/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, в Китае – системы спутникового мониторинга и интеллектуального управления природными ресурсами, а в странах Африки широко применяются подходы </w:t>
      </w:r>
      <w:proofErr w:type="spellStart"/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community-based</w:t>
      </w:r>
      <w:proofErr w:type="spellEnd"/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conservation</w:t>
      </w:r>
      <w:proofErr w:type="spellEnd"/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.</w:t>
      </w:r>
    </w:p>
    <w:p w:rsidR="006E325B" w:rsidRPr="006E325B" w:rsidRDefault="006E325B" w:rsidP="006E325B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На основе проведённого исследования предложена экономико-экологическая модель управления популяцией сайгаков, включающая три взаимосвязанных блока. Первый блок предусматривает </w:t>
      </w:r>
      <w:proofErr w:type="spellStart"/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постпродуктивистскую</w:t>
      </w:r>
      <w:proofErr w:type="spellEnd"/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 переориентацию аграрной политики, внедрение нормативов предельной пастбищной ёмкости с учётом совокупной нагрузки и поддержку восстановления деградированных пастбищ. Второй блок направлен на создание двухуровневой системы оценки и компенсации ущерба с использованием геоинформационных технологий и дистанционного мониторинга. Третий блок включает пространственное планирование, учёт миграционных коридоров сайгака, развитие </w:t>
      </w:r>
      <w:proofErr w:type="spellStart"/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агрострахования</w:t>
      </w:r>
      <w:proofErr w:type="spellEnd"/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 и создание единой цифровой платформы мониторинга конфликтов между дикой природой и сельским хозяйством.</w:t>
      </w:r>
    </w:p>
    <w:p w:rsidR="006E325B" w:rsidRPr="006E325B" w:rsidRDefault="006E325B" w:rsidP="006E325B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Таким образом, конфликт «человек – сайгак» следует рассматривать не как локальную хозяйственную проблему, а как проявление структурных изменений в системе природопользования. Обеспечение устойчивого баланса между сохранением биоразнообразия и развитием аграрного сектора требует внедрения комплексной модели управления, основанной на интеграции экологических, экономических и институциональных механизмов регулирования.</w:t>
      </w:r>
    </w:p>
    <w:p w:rsidR="007330BC" w:rsidRPr="007330BC" w:rsidRDefault="006E325B" w:rsidP="006E325B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6E325B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lastRenderedPageBreak/>
        <w:t>Исследование выполнено в рамках проекта AP23486846 «Экономическая оценка воздействия популяций диких животных (сайгаков) на сельское хозяйство и пути уменьшения ущерба», финансируемого Министерством науки и высшего образования Республики Казахстан.</w:t>
      </w:r>
    </w:p>
    <w:p w:rsidR="007330BC" w:rsidRDefault="007330BC"/>
    <w:sectPr w:rsidR="00733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ter Fallback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BC"/>
    <w:rsid w:val="006E325B"/>
    <w:rsid w:val="007330BC"/>
    <w:rsid w:val="009655B2"/>
    <w:rsid w:val="00A6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565B4E-56D2-4F1B-97E5-C14F0D07F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2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4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3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2026-06-11T06:15:00Z</dcterms:created>
  <dcterms:modified xsi:type="dcterms:W3CDTF">2026-06-11T06:38:00Z</dcterms:modified>
</cp:coreProperties>
</file>